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53" w:rsidRPr="00966065" w:rsidRDefault="000E3B53" w:rsidP="00966065">
      <w:pPr>
        <w:spacing w:line="312" w:lineRule="auto"/>
        <w:rPr>
          <w:szCs w:val="20"/>
        </w:rPr>
      </w:pPr>
    </w:p>
    <w:p w:rsidR="00966065" w:rsidRPr="00966065" w:rsidRDefault="00966065" w:rsidP="00966065">
      <w:pPr>
        <w:spacing w:line="312" w:lineRule="auto"/>
        <w:ind w:right="-2820"/>
        <w:rPr>
          <w:rFonts w:cs="Arial"/>
          <w:b/>
          <w:szCs w:val="20"/>
          <w:lang w:val="de-CH"/>
        </w:rPr>
      </w:pPr>
      <w:r w:rsidRPr="00966065">
        <w:rPr>
          <w:rFonts w:cs="Arial"/>
          <w:b/>
          <w:szCs w:val="20"/>
          <w:lang w:val="de-CH"/>
        </w:rPr>
        <w:t>&gt;&gt;Titel&lt;&lt; &gt;&gt;Vorname&lt;&lt; &gt;&gt;Name&lt;&lt;</w:t>
      </w:r>
    </w:p>
    <w:p w:rsidR="00966065" w:rsidRPr="00966065" w:rsidRDefault="00966065" w:rsidP="00966065">
      <w:pPr>
        <w:spacing w:line="312" w:lineRule="auto"/>
        <w:ind w:right="-2820"/>
        <w:rPr>
          <w:rFonts w:cs="Arial"/>
          <w:b/>
          <w:szCs w:val="20"/>
          <w:lang w:val="de-CH"/>
        </w:rPr>
      </w:pPr>
      <w:r w:rsidRPr="00966065">
        <w:rPr>
          <w:rFonts w:cs="Arial"/>
          <w:b/>
          <w:szCs w:val="20"/>
          <w:lang w:val="de-CH"/>
        </w:rPr>
        <w:t>&gt;&gt;Straße&lt;&lt; &gt;&gt;Hausnummer&lt;&lt;</w:t>
      </w:r>
    </w:p>
    <w:p w:rsidR="00966065" w:rsidRPr="00966065" w:rsidRDefault="00966065" w:rsidP="00966065">
      <w:pPr>
        <w:spacing w:line="312" w:lineRule="auto"/>
        <w:ind w:right="-2820"/>
        <w:rPr>
          <w:rFonts w:cs="Arial"/>
          <w:b/>
          <w:szCs w:val="20"/>
          <w:lang w:val="de-CH"/>
        </w:rPr>
      </w:pPr>
    </w:p>
    <w:p w:rsidR="00966065" w:rsidRPr="00966065" w:rsidRDefault="00966065" w:rsidP="00966065">
      <w:pPr>
        <w:spacing w:line="312" w:lineRule="auto"/>
        <w:ind w:right="-2820"/>
        <w:rPr>
          <w:rFonts w:cs="Arial"/>
          <w:b/>
          <w:szCs w:val="20"/>
          <w:lang w:val="de-CH"/>
        </w:rPr>
      </w:pPr>
      <w:r w:rsidRPr="00966065">
        <w:rPr>
          <w:rFonts w:cs="Arial"/>
          <w:b/>
          <w:szCs w:val="20"/>
          <w:lang w:val="de-CH"/>
        </w:rPr>
        <w:t>&gt;&gt;Postleitzahl&lt;&lt; &gt;&gt;Ort&lt;&lt;</w:t>
      </w:r>
    </w:p>
    <w:p w:rsidR="00966065" w:rsidRPr="00966065" w:rsidRDefault="00966065" w:rsidP="00966065">
      <w:pPr>
        <w:spacing w:line="312" w:lineRule="auto"/>
        <w:ind w:right="-2820"/>
        <w:rPr>
          <w:rFonts w:cs="Arial"/>
          <w:b/>
          <w:szCs w:val="20"/>
          <w:lang w:val="de-CH"/>
        </w:rPr>
      </w:pPr>
    </w:p>
    <w:p w:rsidR="00966065" w:rsidRPr="00966065" w:rsidRDefault="00966065" w:rsidP="00966065">
      <w:pPr>
        <w:spacing w:line="312" w:lineRule="auto"/>
        <w:jc w:val="right"/>
        <w:rPr>
          <w:rFonts w:cs="Arial"/>
          <w:b/>
          <w:szCs w:val="20"/>
          <w:lang w:val="de-CH"/>
        </w:rPr>
      </w:pPr>
      <w:r w:rsidRPr="00966065">
        <w:rPr>
          <w:rFonts w:cs="Arial"/>
          <w:b/>
          <w:szCs w:val="20"/>
          <w:lang w:val="de-CH"/>
        </w:rPr>
        <w:t>&gt;&gt;Datum&lt;&lt;</w:t>
      </w:r>
    </w:p>
    <w:p w:rsidR="00DC46FC" w:rsidRPr="00366B34" w:rsidRDefault="00DC46FC" w:rsidP="00966065">
      <w:pPr>
        <w:spacing w:line="312" w:lineRule="auto"/>
        <w:rPr>
          <w:szCs w:val="20"/>
          <w:lang w:val="de-DE"/>
        </w:rPr>
      </w:pPr>
    </w:p>
    <w:p w:rsidR="00DC46FC" w:rsidRPr="00366B34" w:rsidRDefault="00DC46FC" w:rsidP="00966065">
      <w:pPr>
        <w:spacing w:line="312" w:lineRule="auto"/>
        <w:rPr>
          <w:szCs w:val="20"/>
          <w:lang w:val="de-DE"/>
        </w:rPr>
      </w:pPr>
    </w:p>
    <w:p w:rsidR="00DC46FC" w:rsidRPr="00366B34" w:rsidRDefault="00DC46FC" w:rsidP="00966065">
      <w:pPr>
        <w:spacing w:line="312" w:lineRule="auto"/>
        <w:rPr>
          <w:szCs w:val="20"/>
          <w:lang w:val="de-DE"/>
        </w:rPr>
      </w:pPr>
    </w:p>
    <w:p w:rsidR="00966065" w:rsidRPr="00366B34" w:rsidRDefault="00966065" w:rsidP="00966065">
      <w:pPr>
        <w:spacing w:line="312" w:lineRule="auto"/>
        <w:rPr>
          <w:szCs w:val="20"/>
          <w:lang w:val="de-DE"/>
        </w:rPr>
      </w:pPr>
    </w:p>
    <w:p w:rsidR="00DC46FC" w:rsidRPr="00366B34" w:rsidRDefault="00DC46FC" w:rsidP="00966065">
      <w:pPr>
        <w:spacing w:line="312" w:lineRule="auto"/>
        <w:rPr>
          <w:szCs w:val="20"/>
          <w:lang w:val="de-DE"/>
        </w:rPr>
      </w:pPr>
    </w:p>
    <w:p w:rsidR="00DC46FC" w:rsidRPr="00966065" w:rsidRDefault="00B1019D" w:rsidP="00966065">
      <w:pPr>
        <w:spacing w:line="312" w:lineRule="auto"/>
        <w:rPr>
          <w:rFonts w:cs="Arial"/>
          <w:b/>
          <w:szCs w:val="20"/>
          <w:lang w:val="de-DE"/>
        </w:rPr>
      </w:pPr>
      <w:r w:rsidRPr="00966065">
        <w:rPr>
          <w:rFonts w:cs="Arial"/>
          <w:b/>
          <w:szCs w:val="20"/>
          <w:lang w:val="de-DE"/>
        </w:rPr>
        <w:t xml:space="preserve">Eine weitere Herausforderung der </w:t>
      </w:r>
      <w:r w:rsidR="00DC46FC" w:rsidRPr="00966065">
        <w:rPr>
          <w:rFonts w:cs="Arial"/>
          <w:b/>
          <w:szCs w:val="20"/>
          <w:lang w:val="de-DE"/>
        </w:rPr>
        <w:t>Abgeltungssteuer</w:t>
      </w:r>
      <w:r w:rsidRPr="00966065">
        <w:rPr>
          <w:rFonts w:cs="Arial"/>
          <w:b/>
          <w:szCs w:val="20"/>
          <w:lang w:val="de-DE"/>
        </w:rPr>
        <w:t>: D</w:t>
      </w:r>
      <w:r w:rsidR="00DC46FC" w:rsidRPr="00966065">
        <w:rPr>
          <w:rFonts w:cs="Arial"/>
          <w:b/>
          <w:szCs w:val="20"/>
          <w:lang w:val="de-DE"/>
        </w:rPr>
        <w:t>as “</w:t>
      </w:r>
      <w:proofErr w:type="spellStart"/>
      <w:r w:rsidR="00DC46FC" w:rsidRPr="00966065">
        <w:rPr>
          <w:rFonts w:cs="Arial"/>
          <w:b/>
          <w:szCs w:val="20"/>
          <w:lang w:val="de-DE"/>
        </w:rPr>
        <w:t>FiFo</w:t>
      </w:r>
      <w:proofErr w:type="spellEnd"/>
      <w:r w:rsidR="00DC46FC" w:rsidRPr="00966065">
        <w:rPr>
          <w:rFonts w:cs="Arial"/>
          <w:b/>
          <w:szCs w:val="20"/>
          <w:lang w:val="de-DE"/>
        </w:rPr>
        <w:t>” Prinzip</w:t>
      </w:r>
    </w:p>
    <w:p w:rsidR="00DC46FC" w:rsidRPr="00966065" w:rsidRDefault="00DC46FC" w:rsidP="00966065">
      <w:pPr>
        <w:spacing w:line="312" w:lineRule="auto"/>
        <w:rPr>
          <w:rFonts w:cs="Arial"/>
          <w:szCs w:val="20"/>
          <w:lang w:val="de-DE"/>
        </w:rPr>
      </w:pPr>
    </w:p>
    <w:p w:rsidR="00DC46FC" w:rsidRPr="00966065" w:rsidRDefault="00DC46FC" w:rsidP="00966065">
      <w:pPr>
        <w:spacing w:line="312" w:lineRule="auto"/>
        <w:rPr>
          <w:rFonts w:cs="Arial"/>
          <w:szCs w:val="20"/>
          <w:lang w:val="de-DE"/>
        </w:rPr>
      </w:pPr>
    </w:p>
    <w:p w:rsidR="00DC46FC" w:rsidRPr="00966065" w:rsidRDefault="00DC46FC" w:rsidP="00966065">
      <w:pPr>
        <w:spacing w:line="312" w:lineRule="auto"/>
        <w:rPr>
          <w:rFonts w:cs="Arial"/>
          <w:szCs w:val="20"/>
          <w:lang w:val="de-DE"/>
        </w:rPr>
      </w:pPr>
    </w:p>
    <w:p w:rsidR="00DC46FC" w:rsidRPr="00966065" w:rsidRDefault="00DC46FC" w:rsidP="00966065">
      <w:pPr>
        <w:spacing w:line="312" w:lineRule="auto"/>
        <w:ind w:right="-2820"/>
        <w:rPr>
          <w:rFonts w:cs="Arial"/>
          <w:szCs w:val="20"/>
          <w:lang w:val="de-DE"/>
        </w:rPr>
      </w:pPr>
      <w:r w:rsidRPr="00966065">
        <w:rPr>
          <w:rFonts w:cs="Arial"/>
          <w:szCs w:val="20"/>
          <w:lang w:val="de-DE"/>
        </w:rPr>
        <w:t xml:space="preserve">Sehr geehrter </w:t>
      </w:r>
      <w:r w:rsidR="00966065" w:rsidRPr="00966065">
        <w:rPr>
          <w:rFonts w:cs="Arial"/>
          <w:b/>
          <w:szCs w:val="20"/>
          <w:lang w:val="de-CH"/>
        </w:rPr>
        <w:t>&gt;&gt;Anrede&lt;&lt;</w:t>
      </w:r>
      <w:r w:rsidRPr="00966065">
        <w:rPr>
          <w:rFonts w:cs="Arial"/>
          <w:szCs w:val="20"/>
          <w:lang w:val="de-DE"/>
        </w:rPr>
        <w:t>,</w:t>
      </w:r>
    </w:p>
    <w:p w:rsidR="00DC46FC" w:rsidRPr="00966065" w:rsidRDefault="00DC46FC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87018F" w:rsidRPr="00966065" w:rsidRDefault="00DC46FC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szCs w:val="20"/>
          <w:lang w:val="de-DE"/>
        </w:rPr>
        <w:t xml:space="preserve">Das Jahresende rückt näher und damit auch der </w:t>
      </w:r>
      <w:r w:rsidR="00497AE7">
        <w:rPr>
          <w:rFonts w:cs="Arial"/>
          <w:szCs w:val="20"/>
          <w:lang w:val="de-DE"/>
        </w:rPr>
        <w:t>S</w:t>
      </w:r>
      <w:r w:rsidRPr="00966065">
        <w:rPr>
          <w:rFonts w:cs="Arial"/>
          <w:szCs w:val="20"/>
          <w:lang w:val="de-DE"/>
        </w:rPr>
        <w:t>tichtag für die Abgeltungssteuer.</w:t>
      </w:r>
      <w:r w:rsidR="0087018F" w:rsidRPr="00966065">
        <w:rPr>
          <w:rFonts w:cs="Arial"/>
          <w:szCs w:val="20"/>
          <w:lang w:val="de-DE"/>
        </w:rPr>
        <w:t xml:space="preserve"> </w:t>
      </w:r>
    </w:p>
    <w:p w:rsidR="00E3196F" w:rsidRPr="00966065" w:rsidRDefault="00E3196F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87018F" w:rsidRPr="00966065" w:rsidRDefault="00966065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szCs w:val="20"/>
          <w:lang w:val="de-DE"/>
        </w:rPr>
        <w:t xml:space="preserve">Mit dessen Einführung </w:t>
      </w:r>
      <w:r w:rsidR="00497AE7">
        <w:rPr>
          <w:rFonts w:cs="Arial"/>
          <w:szCs w:val="20"/>
          <w:lang w:val="de-DE"/>
        </w:rPr>
        <w:t xml:space="preserve">am 01. Januar 2009 </w:t>
      </w:r>
      <w:r w:rsidRPr="00966065">
        <w:rPr>
          <w:rFonts w:cs="Arial"/>
          <w:szCs w:val="20"/>
          <w:lang w:val="de-DE"/>
        </w:rPr>
        <w:t>werden zukünftig</w:t>
      </w:r>
      <w:r w:rsidR="00C91C90" w:rsidRPr="00966065">
        <w:rPr>
          <w:rFonts w:cs="Arial"/>
          <w:szCs w:val="20"/>
          <w:lang w:val="de-DE"/>
        </w:rPr>
        <w:t xml:space="preserve"> sämtliche Kursgewinne auf Wertpapiergeschäfte sowie die geflossenen Dividendenzahlungen zu 25% besteuert</w:t>
      </w:r>
      <w:r w:rsidR="00E3196F" w:rsidRPr="00966065">
        <w:rPr>
          <w:rFonts w:cs="Arial"/>
          <w:szCs w:val="20"/>
          <w:lang w:val="de-DE"/>
        </w:rPr>
        <w:t xml:space="preserve"> – e</w:t>
      </w:r>
      <w:r w:rsidR="00C91C90" w:rsidRPr="00966065">
        <w:rPr>
          <w:rFonts w:cs="Arial"/>
          <w:szCs w:val="20"/>
          <w:lang w:val="de-DE"/>
        </w:rPr>
        <w:t>gal wie lange das Wertpapier zuvor gehalten wurde</w:t>
      </w:r>
      <w:r w:rsidR="00497AE7">
        <w:rPr>
          <w:rFonts w:cs="Arial"/>
          <w:szCs w:val="20"/>
          <w:lang w:val="de-DE"/>
        </w:rPr>
        <w:t xml:space="preserve">. Die z.Z. gültige </w:t>
      </w:r>
      <w:r w:rsidR="00E3196F" w:rsidRPr="00966065">
        <w:rPr>
          <w:rFonts w:cs="Arial"/>
          <w:szCs w:val="20"/>
          <w:lang w:val="de-DE"/>
        </w:rPr>
        <w:t>12-monatige Spekulationsfrist auf Veräußerungs</w:t>
      </w:r>
      <w:r w:rsidR="00497AE7">
        <w:rPr>
          <w:rFonts w:cs="Arial"/>
          <w:szCs w:val="20"/>
          <w:lang w:val="de-DE"/>
        </w:rPr>
        <w:t>gewinne</w:t>
      </w:r>
      <w:r w:rsidR="00E3196F" w:rsidRPr="00966065">
        <w:rPr>
          <w:rFonts w:cs="Arial"/>
          <w:szCs w:val="20"/>
          <w:lang w:val="de-DE"/>
        </w:rPr>
        <w:t xml:space="preserve"> entfällt</w:t>
      </w:r>
      <w:r w:rsidR="00C91C90" w:rsidRPr="00966065">
        <w:rPr>
          <w:rFonts w:cs="Arial"/>
          <w:szCs w:val="20"/>
          <w:lang w:val="de-DE"/>
        </w:rPr>
        <w:t>!</w:t>
      </w:r>
    </w:p>
    <w:p w:rsidR="00C91C90" w:rsidRPr="00966065" w:rsidRDefault="00C91C90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C91C90" w:rsidRPr="00966065" w:rsidRDefault="00C91C90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b/>
          <w:szCs w:val="20"/>
          <w:lang w:val="de-DE"/>
        </w:rPr>
        <w:t xml:space="preserve">Die Ausnahme </w:t>
      </w:r>
      <w:r w:rsidR="00966065" w:rsidRPr="00966065">
        <w:rPr>
          <w:rFonts w:cs="Arial"/>
          <w:b/>
          <w:szCs w:val="20"/>
          <w:lang w:val="de-DE"/>
        </w:rPr>
        <w:t>hierzu</w:t>
      </w:r>
      <w:r w:rsidRPr="00966065">
        <w:rPr>
          <w:rFonts w:cs="Arial"/>
          <w:b/>
          <w:szCs w:val="20"/>
          <w:lang w:val="de-DE"/>
        </w:rPr>
        <w:t xml:space="preserve"> </w:t>
      </w:r>
      <w:r w:rsidR="00497AE7">
        <w:rPr>
          <w:rFonts w:cs="Arial"/>
          <w:szCs w:val="20"/>
          <w:lang w:val="de-DE"/>
        </w:rPr>
        <w:t>–</w:t>
      </w:r>
      <w:r w:rsidRPr="00966065">
        <w:rPr>
          <w:rFonts w:cs="Arial"/>
          <w:szCs w:val="20"/>
          <w:lang w:val="de-DE"/>
        </w:rPr>
        <w:t xml:space="preserve"> </w:t>
      </w:r>
      <w:r w:rsidR="00497AE7">
        <w:rPr>
          <w:rFonts w:cs="Arial"/>
          <w:szCs w:val="20"/>
          <w:lang w:val="de-DE"/>
        </w:rPr>
        <w:t xml:space="preserve">realisierte </w:t>
      </w:r>
      <w:r w:rsidRPr="00966065">
        <w:rPr>
          <w:rFonts w:cs="Arial"/>
          <w:szCs w:val="20"/>
          <w:lang w:val="de-DE"/>
        </w:rPr>
        <w:t>Kursgewinne von Aktien und Fondsanteilen, die bereits vor diesem Stichtag gekauft w</w:t>
      </w:r>
      <w:r w:rsidR="00497AE7">
        <w:rPr>
          <w:rFonts w:cs="Arial"/>
          <w:szCs w:val="20"/>
          <w:lang w:val="de-DE"/>
        </w:rPr>
        <w:t>u</w:t>
      </w:r>
      <w:r w:rsidRPr="00966065">
        <w:rPr>
          <w:rFonts w:cs="Arial"/>
          <w:szCs w:val="20"/>
          <w:lang w:val="de-DE"/>
        </w:rPr>
        <w:t xml:space="preserve">rden und anschließend für mindestens 12 Monate gehalten werden bleiben </w:t>
      </w:r>
      <w:r w:rsidR="000A5B19">
        <w:rPr>
          <w:rFonts w:cs="Arial"/>
          <w:szCs w:val="20"/>
          <w:lang w:val="de-DE"/>
        </w:rPr>
        <w:t>Abgeltungs</w:t>
      </w:r>
      <w:r w:rsidRPr="00966065">
        <w:rPr>
          <w:rFonts w:cs="Arial"/>
          <w:szCs w:val="20"/>
          <w:lang w:val="de-DE"/>
        </w:rPr>
        <w:t>steuerfrei.</w:t>
      </w:r>
    </w:p>
    <w:p w:rsidR="001221ED" w:rsidRPr="00966065" w:rsidRDefault="001221ED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1221ED" w:rsidRPr="00966065" w:rsidRDefault="001221ED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b/>
          <w:szCs w:val="20"/>
          <w:lang w:val="de-DE"/>
        </w:rPr>
        <w:t>Hierbei gibt es aber den folgenden Haken!</w:t>
      </w:r>
      <w:r w:rsidR="00346B32" w:rsidRPr="00966065">
        <w:rPr>
          <w:rFonts w:cs="Arial"/>
          <w:szCs w:val="20"/>
          <w:lang w:val="de-DE"/>
        </w:rPr>
        <w:t xml:space="preserve"> Das sogenannte „First in – First out Verfahren (</w:t>
      </w:r>
      <w:proofErr w:type="spellStart"/>
      <w:r w:rsidR="00346B32" w:rsidRPr="00966065">
        <w:rPr>
          <w:rFonts w:cs="Arial"/>
          <w:szCs w:val="20"/>
          <w:lang w:val="de-DE"/>
        </w:rPr>
        <w:t>FiFo</w:t>
      </w:r>
      <w:proofErr w:type="spellEnd"/>
      <w:r w:rsidR="00346B32" w:rsidRPr="00966065">
        <w:rPr>
          <w:rFonts w:cs="Arial"/>
          <w:szCs w:val="20"/>
          <w:lang w:val="de-DE"/>
        </w:rPr>
        <w:t xml:space="preserve">-Verfahren: Veräußerungen der Wertpapieranteile in der Reihenfolge ihrer Aufnahme ins Depot). Dieses </w:t>
      </w:r>
      <w:proofErr w:type="spellStart"/>
      <w:r w:rsidR="00346B32" w:rsidRPr="00966065">
        <w:rPr>
          <w:rFonts w:cs="Arial"/>
          <w:szCs w:val="20"/>
          <w:lang w:val="de-DE"/>
        </w:rPr>
        <w:t>FiFo</w:t>
      </w:r>
      <w:proofErr w:type="spellEnd"/>
      <w:r w:rsidR="00346B32" w:rsidRPr="00966065">
        <w:rPr>
          <w:rFonts w:cs="Arial"/>
          <w:szCs w:val="20"/>
          <w:lang w:val="de-DE"/>
        </w:rPr>
        <w:t xml:space="preserve">-Verfahren gilt bereits seit dem 01. </w:t>
      </w:r>
      <w:r w:rsidR="00497AE7">
        <w:rPr>
          <w:rFonts w:cs="Arial"/>
          <w:szCs w:val="20"/>
          <w:lang w:val="de-DE"/>
        </w:rPr>
        <w:t>Januar 2005 und bedeutet k</w:t>
      </w:r>
      <w:r w:rsidR="00346B32" w:rsidRPr="00966065">
        <w:rPr>
          <w:rFonts w:cs="Arial"/>
          <w:szCs w:val="20"/>
          <w:lang w:val="de-DE"/>
        </w:rPr>
        <w:t>onkret, dass bei einem Verkauf von Fondsan</w:t>
      </w:r>
      <w:r w:rsidR="00497AE7">
        <w:rPr>
          <w:rFonts w:cs="Arial"/>
          <w:szCs w:val="20"/>
          <w:lang w:val="de-DE"/>
        </w:rPr>
        <w:t>teilen zu unterstellen ist, dass</w:t>
      </w:r>
      <w:r w:rsidR="00346B32" w:rsidRPr="00966065">
        <w:rPr>
          <w:rFonts w:cs="Arial"/>
          <w:szCs w:val="20"/>
          <w:lang w:val="de-DE"/>
        </w:rPr>
        <w:t xml:space="preserve"> zuerst angeschaffte Anteile auch zuerst veräußert werden.</w:t>
      </w:r>
    </w:p>
    <w:p w:rsidR="00620EED" w:rsidRPr="00966065" w:rsidRDefault="00620EED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620EED" w:rsidRPr="00966065" w:rsidRDefault="00620EED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b/>
          <w:szCs w:val="20"/>
          <w:lang w:val="de-DE"/>
        </w:rPr>
        <w:t>Hinsichtlich der Abgeltungssteuer bedeutet dies</w:t>
      </w:r>
      <w:r w:rsidR="001501CF" w:rsidRPr="00966065">
        <w:rPr>
          <w:rFonts w:cs="Arial"/>
          <w:szCs w:val="20"/>
          <w:lang w:val="de-DE"/>
        </w:rPr>
        <w:t xml:space="preserve">, dass wenn sich Fondsanteile aus Käufen vor dem 01. Januar und Anteilszukäufe nach diesem Stichtag </w:t>
      </w:r>
      <w:r w:rsidR="00497AE7">
        <w:rPr>
          <w:rFonts w:cs="Arial"/>
          <w:szCs w:val="20"/>
          <w:lang w:val="de-DE"/>
        </w:rPr>
        <w:t>im g</w:t>
      </w:r>
      <w:r w:rsidR="001501CF" w:rsidRPr="00966065">
        <w:rPr>
          <w:rFonts w:cs="Arial"/>
          <w:szCs w:val="20"/>
          <w:lang w:val="de-DE"/>
        </w:rPr>
        <w:t xml:space="preserve">leichen Depot befinden, bei einem Teilverkauf nach dem </w:t>
      </w:r>
      <w:proofErr w:type="spellStart"/>
      <w:r w:rsidR="001501CF" w:rsidRPr="00966065">
        <w:rPr>
          <w:rFonts w:cs="Arial"/>
          <w:szCs w:val="20"/>
          <w:lang w:val="de-DE"/>
        </w:rPr>
        <w:t>FiFo</w:t>
      </w:r>
      <w:proofErr w:type="spellEnd"/>
      <w:r w:rsidR="001501CF" w:rsidRPr="00966065">
        <w:rPr>
          <w:rFonts w:cs="Arial"/>
          <w:szCs w:val="20"/>
          <w:lang w:val="de-DE"/>
        </w:rPr>
        <w:t>-Verfahren grundsätzlich jene Anteile zuerst veräußert</w:t>
      </w:r>
      <w:r w:rsidR="00497AE7">
        <w:rPr>
          <w:rFonts w:cs="Arial"/>
          <w:szCs w:val="20"/>
          <w:lang w:val="de-DE"/>
        </w:rPr>
        <w:t xml:space="preserve"> werden</w:t>
      </w:r>
      <w:r w:rsidR="001501CF" w:rsidRPr="00966065">
        <w:rPr>
          <w:rFonts w:cs="Arial"/>
          <w:szCs w:val="20"/>
          <w:lang w:val="de-DE"/>
        </w:rPr>
        <w:t>, welche vor dem 01. Januar angeschafft wurden.</w:t>
      </w:r>
    </w:p>
    <w:p w:rsidR="001221ED" w:rsidRPr="00966065" w:rsidRDefault="001221ED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87018F" w:rsidRPr="00966065" w:rsidRDefault="00F63856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szCs w:val="20"/>
          <w:lang w:val="de-DE"/>
        </w:rPr>
        <w:t>Ganz k</w:t>
      </w:r>
      <w:r w:rsidR="00D1653E" w:rsidRPr="00966065">
        <w:rPr>
          <w:rFonts w:cs="Arial"/>
          <w:szCs w:val="20"/>
          <w:lang w:val="de-DE"/>
        </w:rPr>
        <w:t>onkret heißt das</w:t>
      </w:r>
      <w:r w:rsidR="0057394A" w:rsidRPr="00966065">
        <w:rPr>
          <w:rFonts w:cs="Arial"/>
          <w:szCs w:val="20"/>
          <w:lang w:val="de-DE"/>
        </w:rPr>
        <w:t xml:space="preserve"> b</w:t>
      </w:r>
      <w:r w:rsidR="00E06CDC" w:rsidRPr="00966065">
        <w:rPr>
          <w:rFonts w:cs="Arial"/>
          <w:szCs w:val="20"/>
          <w:lang w:val="de-DE"/>
        </w:rPr>
        <w:t>e</w:t>
      </w:r>
      <w:r w:rsidR="003742C8">
        <w:rPr>
          <w:rFonts w:cs="Arial"/>
          <w:szCs w:val="20"/>
          <w:lang w:val="de-DE"/>
        </w:rPr>
        <w:t>i einem Verkauf i</w:t>
      </w:r>
      <w:r w:rsidR="00E06CDC" w:rsidRPr="00966065">
        <w:rPr>
          <w:rFonts w:cs="Arial"/>
          <w:szCs w:val="20"/>
          <w:lang w:val="de-DE"/>
        </w:rPr>
        <w:t>nnerhalb der z.Z. noch geltenden Spekulationsfrist werden Anteile veräußert, deren Gewinne zwar hin</w:t>
      </w:r>
      <w:r w:rsidR="003742C8">
        <w:rPr>
          <w:rFonts w:cs="Arial"/>
          <w:szCs w:val="20"/>
          <w:lang w:val="de-DE"/>
        </w:rPr>
        <w:t xml:space="preserve">sichtlich der Abgeltungssteuer </w:t>
      </w:r>
      <w:r w:rsidR="00E06CDC" w:rsidRPr="00966065">
        <w:rPr>
          <w:rFonts w:cs="Arial"/>
          <w:szCs w:val="20"/>
          <w:lang w:val="de-DE"/>
        </w:rPr>
        <w:t>steuerfrei sind, die aber aufgrund der noch nicht abgelaufenen Spekulationsfrist voll versteuert werden müssen.</w:t>
      </w:r>
      <w:r w:rsidR="004139D8" w:rsidRPr="00966065">
        <w:rPr>
          <w:rFonts w:cs="Arial"/>
          <w:szCs w:val="20"/>
          <w:lang w:val="de-DE"/>
        </w:rPr>
        <w:t xml:space="preserve"> Auch bei einem Teilverkauf nach Ablauf der Spekulationsfrist werden automatisch, gewollt oder ungewollt, Anteile verwendet, die Bestandsschutz genießen.</w:t>
      </w:r>
    </w:p>
    <w:p w:rsidR="004139D8" w:rsidRDefault="004139D8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966065" w:rsidRDefault="00966065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966065" w:rsidRDefault="00966065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966065" w:rsidRDefault="00966065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966065" w:rsidRDefault="00966065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966065" w:rsidRDefault="00966065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4139D8" w:rsidRPr="00966065" w:rsidRDefault="00B1019D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b/>
          <w:szCs w:val="20"/>
          <w:lang w:val="de-DE"/>
        </w:rPr>
        <w:t xml:space="preserve">Die Lösung hierzu? Eine getrennte Unterdepotführung! </w:t>
      </w:r>
      <w:r w:rsidR="00EA0303" w:rsidRPr="00966065">
        <w:rPr>
          <w:rFonts w:cs="Arial"/>
          <w:szCs w:val="20"/>
          <w:lang w:val="de-DE"/>
        </w:rPr>
        <w:t>Die Bestände in einem jeden MOVENTUM Depot werden automatisiert nach „alten“ und „neuen“ Beständen getrennt – nach Anteilskäufen vor und nach dem 01. Januar 2009.</w:t>
      </w:r>
    </w:p>
    <w:p w:rsidR="0087018F" w:rsidRPr="00966065" w:rsidRDefault="0087018F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EA0303" w:rsidRPr="00966065" w:rsidRDefault="00EA0303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szCs w:val="20"/>
          <w:lang w:val="de-DE"/>
        </w:rPr>
        <w:t>Standardmäßig werden alle vor dem 01. Januar 2009 gekauften Werte in ein neues Unterdepot „passiv“ übertragen. Alle nach diesem Stichtag erworbenen Anteile werden in dem sogenannten „aktiven“ Hauptdepot geführt.</w:t>
      </w:r>
      <w:r w:rsidR="00E64412" w:rsidRPr="00966065">
        <w:rPr>
          <w:rFonts w:cs="Arial"/>
          <w:szCs w:val="20"/>
          <w:lang w:val="de-DE"/>
        </w:rPr>
        <w:t xml:space="preserve"> Diese Bestandstrennung sichert Ihnen zukünftig die freie Wahl aus welchen Beständen Verkäufe getätigt werden.</w:t>
      </w:r>
    </w:p>
    <w:p w:rsidR="0087018F" w:rsidRPr="00966065" w:rsidRDefault="0087018F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87018F" w:rsidRPr="00966065" w:rsidRDefault="00943D9E" w:rsidP="00966065">
      <w:pPr>
        <w:spacing w:line="312" w:lineRule="auto"/>
        <w:jc w:val="both"/>
        <w:rPr>
          <w:rFonts w:cs="Arial"/>
          <w:szCs w:val="20"/>
          <w:lang w:val="de-DE"/>
        </w:rPr>
      </w:pPr>
      <w:r w:rsidRPr="00966065">
        <w:rPr>
          <w:rFonts w:cs="Arial"/>
          <w:szCs w:val="20"/>
          <w:lang w:val="de-DE"/>
        </w:rPr>
        <w:t xml:space="preserve">Statt der so oft als Lösung für diese Problematik angebotenen doppelten Depotführung, bei der zumindest ein kostenpflichtiges zweites getrenntes Depot eingerichtet werden muss, hat sich MOVENTUM </w:t>
      </w:r>
      <w:r w:rsidR="00631DBC" w:rsidRPr="00966065">
        <w:rPr>
          <w:rFonts w:cs="Arial"/>
          <w:szCs w:val="20"/>
          <w:lang w:val="de-DE"/>
        </w:rPr>
        <w:t xml:space="preserve">hiermit </w:t>
      </w:r>
      <w:r w:rsidRPr="00966065">
        <w:rPr>
          <w:rFonts w:cs="Arial"/>
          <w:szCs w:val="20"/>
          <w:lang w:val="de-DE"/>
        </w:rPr>
        <w:t>für einen kundenfreundlich</w:t>
      </w:r>
      <w:r w:rsidR="00631DBC" w:rsidRPr="00966065">
        <w:rPr>
          <w:rFonts w:cs="Arial"/>
          <w:szCs w:val="20"/>
          <w:lang w:val="de-DE"/>
        </w:rPr>
        <w:t>eren Lösungsansatz entschieden.</w:t>
      </w:r>
    </w:p>
    <w:p w:rsidR="00631DBC" w:rsidRPr="00966065" w:rsidRDefault="00631DBC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631DBC" w:rsidRPr="00837DBE" w:rsidRDefault="00631DBC" w:rsidP="00966065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Arial"/>
          <w:b/>
          <w:szCs w:val="20"/>
          <w:lang w:val="de-DE"/>
        </w:rPr>
      </w:pPr>
      <w:r w:rsidRPr="00837DBE">
        <w:rPr>
          <w:rFonts w:cs="Arial"/>
          <w:b/>
          <w:szCs w:val="20"/>
          <w:lang w:val="de-DE"/>
        </w:rPr>
        <w:t>Es besteht weiterhin nur ein Depot mit einer Stammnummer</w:t>
      </w:r>
    </w:p>
    <w:p w:rsidR="00631DBC" w:rsidRPr="00837DBE" w:rsidRDefault="00631DBC" w:rsidP="00966065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Arial"/>
          <w:b/>
          <w:szCs w:val="20"/>
          <w:lang w:val="de-DE"/>
        </w:rPr>
      </w:pPr>
      <w:r w:rsidRPr="00837DBE">
        <w:rPr>
          <w:rFonts w:cs="Arial"/>
          <w:b/>
          <w:szCs w:val="20"/>
          <w:lang w:val="de-DE"/>
        </w:rPr>
        <w:t>Die Einrichtung des Unterdepots und anschließende Bestandstrennung erfolgt automatisch – Sie müssen hierzu nichts unternehmen</w:t>
      </w:r>
    </w:p>
    <w:p w:rsidR="00631DBC" w:rsidRPr="00837DBE" w:rsidRDefault="00631DBC" w:rsidP="00966065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Arial"/>
          <w:b/>
          <w:szCs w:val="20"/>
          <w:lang w:val="de-DE"/>
        </w:rPr>
      </w:pPr>
      <w:r w:rsidRPr="00837DBE">
        <w:rPr>
          <w:rFonts w:cs="Arial"/>
          <w:b/>
          <w:szCs w:val="20"/>
          <w:lang w:val="de-DE"/>
        </w:rPr>
        <w:t>Es gibt keine Einrichtungsgebühren und keine doppelten Depotführungsgebühren</w:t>
      </w:r>
    </w:p>
    <w:p w:rsidR="00631DBC" w:rsidRPr="00966065" w:rsidRDefault="00631DBC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  <w:lang w:val="de-CH"/>
        </w:rPr>
      </w:pPr>
      <w:r w:rsidRPr="00966065">
        <w:rPr>
          <w:rFonts w:cs="Arial"/>
          <w:szCs w:val="20"/>
          <w:lang w:val="de-CH"/>
        </w:rPr>
        <w:t>Wenn Sie Fragen zu dieser Unterdepoteinrichtung haben oder weitere Informationen benötigen, können Sie mich jederzeit gerne unter der Telefonnummer ((Telefon Berater)) anrufen.</w:t>
      </w: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  <w:lang w:val="de-CH"/>
        </w:rPr>
      </w:pP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</w:rPr>
      </w:pPr>
      <w:proofErr w:type="spellStart"/>
      <w:r w:rsidRPr="00966065">
        <w:rPr>
          <w:rFonts w:cs="Arial"/>
          <w:szCs w:val="20"/>
        </w:rPr>
        <w:t>Mit</w:t>
      </w:r>
      <w:proofErr w:type="spellEnd"/>
      <w:r w:rsidRPr="00966065">
        <w:rPr>
          <w:rFonts w:cs="Arial"/>
          <w:szCs w:val="20"/>
          <w:lang w:val="de-DE"/>
        </w:rPr>
        <w:t xml:space="preserve"> freundlichen Grüßen</w:t>
      </w: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</w:rPr>
      </w:pP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</w:rPr>
      </w:pP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</w:rPr>
      </w:pP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</w:rPr>
      </w:pPr>
    </w:p>
    <w:p w:rsidR="00966065" w:rsidRPr="00966065" w:rsidRDefault="00966065" w:rsidP="00966065">
      <w:pPr>
        <w:spacing w:line="312" w:lineRule="auto"/>
        <w:jc w:val="both"/>
        <w:rPr>
          <w:rFonts w:cs="Arial"/>
          <w:szCs w:val="20"/>
        </w:rPr>
      </w:pPr>
      <w:r w:rsidRPr="00966065">
        <w:rPr>
          <w:rFonts w:cs="Arial"/>
          <w:szCs w:val="20"/>
        </w:rPr>
        <w:t>((</w:t>
      </w:r>
      <w:r w:rsidRPr="00966065">
        <w:rPr>
          <w:rFonts w:cs="Arial"/>
          <w:szCs w:val="20"/>
          <w:lang w:val="de-DE"/>
        </w:rPr>
        <w:t>Unterschrift</w:t>
      </w:r>
      <w:r w:rsidRPr="00966065">
        <w:rPr>
          <w:rFonts w:cs="Arial"/>
          <w:szCs w:val="20"/>
        </w:rPr>
        <w:t>))</w:t>
      </w:r>
    </w:p>
    <w:p w:rsidR="0087018F" w:rsidRPr="00966065" w:rsidRDefault="0087018F" w:rsidP="00966065">
      <w:pPr>
        <w:spacing w:line="312" w:lineRule="auto"/>
        <w:jc w:val="both"/>
        <w:rPr>
          <w:rFonts w:cs="Arial"/>
          <w:szCs w:val="20"/>
          <w:lang w:val="de-DE"/>
        </w:rPr>
      </w:pPr>
    </w:p>
    <w:p w:rsidR="0087018F" w:rsidRDefault="0087018F" w:rsidP="00EA0303">
      <w:pPr>
        <w:jc w:val="both"/>
        <w:rPr>
          <w:lang w:val="de-DE"/>
        </w:rPr>
      </w:pPr>
    </w:p>
    <w:p w:rsidR="0087018F" w:rsidRDefault="0087018F" w:rsidP="00EA0303">
      <w:pPr>
        <w:jc w:val="both"/>
        <w:rPr>
          <w:lang w:val="de-DE"/>
        </w:rPr>
      </w:pPr>
    </w:p>
    <w:p w:rsidR="0087018F" w:rsidRDefault="0087018F" w:rsidP="00EA0303">
      <w:pPr>
        <w:jc w:val="both"/>
        <w:rPr>
          <w:lang w:val="de-DE"/>
        </w:rPr>
      </w:pPr>
    </w:p>
    <w:p w:rsidR="0087018F" w:rsidRDefault="0087018F" w:rsidP="00EA0303">
      <w:pPr>
        <w:jc w:val="both"/>
        <w:rPr>
          <w:lang w:val="de-DE"/>
        </w:rPr>
      </w:pPr>
    </w:p>
    <w:p w:rsidR="0087018F" w:rsidRDefault="0087018F" w:rsidP="00EA0303">
      <w:pPr>
        <w:jc w:val="both"/>
        <w:rPr>
          <w:lang w:val="de-DE"/>
        </w:rPr>
      </w:pPr>
    </w:p>
    <w:p w:rsidR="0087018F" w:rsidRDefault="0087018F" w:rsidP="00EA0303">
      <w:pPr>
        <w:jc w:val="both"/>
        <w:rPr>
          <w:lang w:val="de-DE"/>
        </w:rPr>
      </w:pPr>
    </w:p>
    <w:sectPr w:rsidR="0087018F" w:rsidSect="00E17A7D">
      <w:pgSz w:w="11909" w:h="16834" w:code="9"/>
      <w:pgMar w:top="1418" w:right="1418" w:bottom="1134" w:left="1418" w:header="964" w:footer="56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09E" w:rsidRDefault="008D609E">
      <w:r>
        <w:separator/>
      </w:r>
    </w:p>
  </w:endnote>
  <w:endnote w:type="continuationSeparator" w:id="1">
    <w:p w:rsidR="008D609E" w:rsidRDefault="008D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09E" w:rsidRDefault="008D609E">
      <w:r>
        <w:separator/>
      </w:r>
    </w:p>
  </w:footnote>
  <w:footnote w:type="continuationSeparator" w:id="1">
    <w:p w:rsidR="008D609E" w:rsidRDefault="008D6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B7D"/>
    <w:multiLevelType w:val="hybridMultilevel"/>
    <w:tmpl w:val="404E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6FC"/>
    <w:rsid w:val="0000681A"/>
    <w:rsid w:val="00020682"/>
    <w:rsid w:val="000251F0"/>
    <w:rsid w:val="0002662F"/>
    <w:rsid w:val="00043737"/>
    <w:rsid w:val="000528BC"/>
    <w:rsid w:val="00064185"/>
    <w:rsid w:val="00066DCA"/>
    <w:rsid w:val="000703AC"/>
    <w:rsid w:val="00076FF8"/>
    <w:rsid w:val="00077056"/>
    <w:rsid w:val="00082F6D"/>
    <w:rsid w:val="00085E6B"/>
    <w:rsid w:val="00090969"/>
    <w:rsid w:val="000978E2"/>
    <w:rsid w:val="000A4789"/>
    <w:rsid w:val="000A5B19"/>
    <w:rsid w:val="000B2DC3"/>
    <w:rsid w:val="000B4C75"/>
    <w:rsid w:val="000B5E8C"/>
    <w:rsid w:val="000B6066"/>
    <w:rsid w:val="000C6D8D"/>
    <w:rsid w:val="000D6E16"/>
    <w:rsid w:val="000E3B53"/>
    <w:rsid w:val="000E5840"/>
    <w:rsid w:val="000E5A15"/>
    <w:rsid w:val="000E73A2"/>
    <w:rsid w:val="00106C77"/>
    <w:rsid w:val="0012009B"/>
    <w:rsid w:val="00121F34"/>
    <w:rsid w:val="001221ED"/>
    <w:rsid w:val="00122BE0"/>
    <w:rsid w:val="001242C3"/>
    <w:rsid w:val="0013442C"/>
    <w:rsid w:val="00137117"/>
    <w:rsid w:val="001435A5"/>
    <w:rsid w:val="001501CF"/>
    <w:rsid w:val="00155F66"/>
    <w:rsid w:val="00163DFE"/>
    <w:rsid w:val="00166C08"/>
    <w:rsid w:val="00167753"/>
    <w:rsid w:val="001723E0"/>
    <w:rsid w:val="00174D0B"/>
    <w:rsid w:val="00181EF4"/>
    <w:rsid w:val="00184F12"/>
    <w:rsid w:val="001A7B33"/>
    <w:rsid w:val="001C6016"/>
    <w:rsid w:val="001E0B6D"/>
    <w:rsid w:val="001E0B8D"/>
    <w:rsid w:val="001E0CD1"/>
    <w:rsid w:val="001E6F0F"/>
    <w:rsid w:val="001F008C"/>
    <w:rsid w:val="001F4033"/>
    <w:rsid w:val="001F545F"/>
    <w:rsid w:val="001F5C54"/>
    <w:rsid w:val="0020574E"/>
    <w:rsid w:val="00205B5C"/>
    <w:rsid w:val="00206A43"/>
    <w:rsid w:val="00214C1C"/>
    <w:rsid w:val="00220CE2"/>
    <w:rsid w:val="002224CA"/>
    <w:rsid w:val="002270D7"/>
    <w:rsid w:val="0022744D"/>
    <w:rsid w:val="0023322A"/>
    <w:rsid w:val="0023354F"/>
    <w:rsid w:val="00240CDE"/>
    <w:rsid w:val="00240ED6"/>
    <w:rsid w:val="002549A6"/>
    <w:rsid w:val="00260855"/>
    <w:rsid w:val="00266C22"/>
    <w:rsid w:val="002709B0"/>
    <w:rsid w:val="002711F6"/>
    <w:rsid w:val="00272600"/>
    <w:rsid w:val="00281236"/>
    <w:rsid w:val="00291655"/>
    <w:rsid w:val="002B1DB0"/>
    <w:rsid w:val="002C0D51"/>
    <w:rsid w:val="002C2526"/>
    <w:rsid w:val="002D4F66"/>
    <w:rsid w:val="002E3040"/>
    <w:rsid w:val="002E4FF5"/>
    <w:rsid w:val="002E55BA"/>
    <w:rsid w:val="002F0312"/>
    <w:rsid w:val="002F3A60"/>
    <w:rsid w:val="002F45A0"/>
    <w:rsid w:val="0030242D"/>
    <w:rsid w:val="00302E12"/>
    <w:rsid w:val="00307D8F"/>
    <w:rsid w:val="00312E43"/>
    <w:rsid w:val="00332020"/>
    <w:rsid w:val="00344CF1"/>
    <w:rsid w:val="003462E9"/>
    <w:rsid w:val="00346B32"/>
    <w:rsid w:val="0034752A"/>
    <w:rsid w:val="00355B42"/>
    <w:rsid w:val="00366B34"/>
    <w:rsid w:val="00371131"/>
    <w:rsid w:val="00373197"/>
    <w:rsid w:val="003742C8"/>
    <w:rsid w:val="0038402F"/>
    <w:rsid w:val="0039008D"/>
    <w:rsid w:val="00390E4B"/>
    <w:rsid w:val="0039202F"/>
    <w:rsid w:val="003954E5"/>
    <w:rsid w:val="003A3069"/>
    <w:rsid w:val="003A501C"/>
    <w:rsid w:val="003B2D85"/>
    <w:rsid w:val="003B3035"/>
    <w:rsid w:val="003B33CD"/>
    <w:rsid w:val="003B4FE6"/>
    <w:rsid w:val="003B6461"/>
    <w:rsid w:val="003C4AB0"/>
    <w:rsid w:val="003C576F"/>
    <w:rsid w:val="003D2357"/>
    <w:rsid w:val="003E052A"/>
    <w:rsid w:val="003E7E48"/>
    <w:rsid w:val="003F0B7D"/>
    <w:rsid w:val="003F2CD6"/>
    <w:rsid w:val="00401278"/>
    <w:rsid w:val="00402FF0"/>
    <w:rsid w:val="00405869"/>
    <w:rsid w:val="00411450"/>
    <w:rsid w:val="004139D8"/>
    <w:rsid w:val="00421FBF"/>
    <w:rsid w:val="004266CD"/>
    <w:rsid w:val="004375A0"/>
    <w:rsid w:val="00466000"/>
    <w:rsid w:val="00484EC4"/>
    <w:rsid w:val="00491BA3"/>
    <w:rsid w:val="00497AE7"/>
    <w:rsid w:val="004A23AD"/>
    <w:rsid w:val="004A2982"/>
    <w:rsid w:val="004A32B3"/>
    <w:rsid w:val="004A6050"/>
    <w:rsid w:val="004A650F"/>
    <w:rsid w:val="004B0FD0"/>
    <w:rsid w:val="004C30CA"/>
    <w:rsid w:val="004C467D"/>
    <w:rsid w:val="004E0430"/>
    <w:rsid w:val="004E12E9"/>
    <w:rsid w:val="004E50A0"/>
    <w:rsid w:val="0051111A"/>
    <w:rsid w:val="005314C4"/>
    <w:rsid w:val="00546BCF"/>
    <w:rsid w:val="00547845"/>
    <w:rsid w:val="0055260D"/>
    <w:rsid w:val="005539E9"/>
    <w:rsid w:val="00560403"/>
    <w:rsid w:val="005610F8"/>
    <w:rsid w:val="005638E3"/>
    <w:rsid w:val="0057394A"/>
    <w:rsid w:val="00580350"/>
    <w:rsid w:val="00586E7B"/>
    <w:rsid w:val="005A293B"/>
    <w:rsid w:val="005B13C1"/>
    <w:rsid w:val="005B46CD"/>
    <w:rsid w:val="005B6353"/>
    <w:rsid w:val="005C0D7C"/>
    <w:rsid w:val="005C0EA6"/>
    <w:rsid w:val="005C34E6"/>
    <w:rsid w:val="005C3D30"/>
    <w:rsid w:val="005C43D2"/>
    <w:rsid w:val="005C622C"/>
    <w:rsid w:val="005C7C97"/>
    <w:rsid w:val="005D7667"/>
    <w:rsid w:val="005E4836"/>
    <w:rsid w:val="005F177C"/>
    <w:rsid w:val="005F4F68"/>
    <w:rsid w:val="005F54E7"/>
    <w:rsid w:val="00601357"/>
    <w:rsid w:val="00602AA9"/>
    <w:rsid w:val="00620EED"/>
    <w:rsid w:val="00625035"/>
    <w:rsid w:val="00631DBC"/>
    <w:rsid w:val="00643DDA"/>
    <w:rsid w:val="00650EE0"/>
    <w:rsid w:val="00654546"/>
    <w:rsid w:val="006600D9"/>
    <w:rsid w:val="00661D11"/>
    <w:rsid w:val="006657E6"/>
    <w:rsid w:val="00670F99"/>
    <w:rsid w:val="00681619"/>
    <w:rsid w:val="00694449"/>
    <w:rsid w:val="006A0086"/>
    <w:rsid w:val="006A0E05"/>
    <w:rsid w:val="006A43CD"/>
    <w:rsid w:val="006A55A5"/>
    <w:rsid w:val="006A70F2"/>
    <w:rsid w:val="006A7E4B"/>
    <w:rsid w:val="006A7FA8"/>
    <w:rsid w:val="006C048D"/>
    <w:rsid w:val="006C05C2"/>
    <w:rsid w:val="006D0847"/>
    <w:rsid w:val="006D2B77"/>
    <w:rsid w:val="006D5A2F"/>
    <w:rsid w:val="006D71B3"/>
    <w:rsid w:val="006E0F9F"/>
    <w:rsid w:val="006E2CDF"/>
    <w:rsid w:val="006E33A9"/>
    <w:rsid w:val="0070199C"/>
    <w:rsid w:val="00704BEC"/>
    <w:rsid w:val="00707BEF"/>
    <w:rsid w:val="00707FB9"/>
    <w:rsid w:val="007139CF"/>
    <w:rsid w:val="00723072"/>
    <w:rsid w:val="00747E02"/>
    <w:rsid w:val="007615AD"/>
    <w:rsid w:val="007631CF"/>
    <w:rsid w:val="007670B5"/>
    <w:rsid w:val="00771371"/>
    <w:rsid w:val="00774239"/>
    <w:rsid w:val="00775E21"/>
    <w:rsid w:val="00782625"/>
    <w:rsid w:val="00796ED2"/>
    <w:rsid w:val="007B09CC"/>
    <w:rsid w:val="007B4BAF"/>
    <w:rsid w:val="007B766E"/>
    <w:rsid w:val="007C4830"/>
    <w:rsid w:val="007D2A4D"/>
    <w:rsid w:val="007D5AFE"/>
    <w:rsid w:val="007D6A67"/>
    <w:rsid w:val="007D6E4B"/>
    <w:rsid w:val="007E5B5F"/>
    <w:rsid w:val="007F4081"/>
    <w:rsid w:val="00810D4C"/>
    <w:rsid w:val="008110EB"/>
    <w:rsid w:val="008134F4"/>
    <w:rsid w:val="00823C2C"/>
    <w:rsid w:val="0083183D"/>
    <w:rsid w:val="00831AAF"/>
    <w:rsid w:val="008323BB"/>
    <w:rsid w:val="008352E6"/>
    <w:rsid w:val="00837DBE"/>
    <w:rsid w:val="00842EAB"/>
    <w:rsid w:val="0084512A"/>
    <w:rsid w:val="00866AEF"/>
    <w:rsid w:val="0087018F"/>
    <w:rsid w:val="008704A6"/>
    <w:rsid w:val="00871909"/>
    <w:rsid w:val="008719EE"/>
    <w:rsid w:val="00873E08"/>
    <w:rsid w:val="00874FB3"/>
    <w:rsid w:val="00875A97"/>
    <w:rsid w:val="00876211"/>
    <w:rsid w:val="00887581"/>
    <w:rsid w:val="008905A7"/>
    <w:rsid w:val="008C461C"/>
    <w:rsid w:val="008C7AED"/>
    <w:rsid w:val="008D609E"/>
    <w:rsid w:val="008D7627"/>
    <w:rsid w:val="008E39CC"/>
    <w:rsid w:val="008E52F7"/>
    <w:rsid w:val="008F0910"/>
    <w:rsid w:val="008F5A59"/>
    <w:rsid w:val="00902C73"/>
    <w:rsid w:val="009033B5"/>
    <w:rsid w:val="00906D68"/>
    <w:rsid w:val="0090751E"/>
    <w:rsid w:val="009101FB"/>
    <w:rsid w:val="00917DDF"/>
    <w:rsid w:val="00940B37"/>
    <w:rsid w:val="00943D9E"/>
    <w:rsid w:val="00955247"/>
    <w:rsid w:val="00957165"/>
    <w:rsid w:val="0096162C"/>
    <w:rsid w:val="00961F13"/>
    <w:rsid w:val="00963C4E"/>
    <w:rsid w:val="00966065"/>
    <w:rsid w:val="00972061"/>
    <w:rsid w:val="00973A0A"/>
    <w:rsid w:val="00980BD3"/>
    <w:rsid w:val="009825AE"/>
    <w:rsid w:val="0098582C"/>
    <w:rsid w:val="009959DD"/>
    <w:rsid w:val="009B1EDD"/>
    <w:rsid w:val="009B7F04"/>
    <w:rsid w:val="009C6450"/>
    <w:rsid w:val="009C64DF"/>
    <w:rsid w:val="009D4591"/>
    <w:rsid w:val="009E39EA"/>
    <w:rsid w:val="009E71D5"/>
    <w:rsid w:val="00A127D7"/>
    <w:rsid w:val="00A203A6"/>
    <w:rsid w:val="00A448FE"/>
    <w:rsid w:val="00A461D4"/>
    <w:rsid w:val="00A515A1"/>
    <w:rsid w:val="00A7565D"/>
    <w:rsid w:val="00A769B6"/>
    <w:rsid w:val="00A92525"/>
    <w:rsid w:val="00A97F04"/>
    <w:rsid w:val="00AA1A0B"/>
    <w:rsid w:val="00AA55A7"/>
    <w:rsid w:val="00AA79DF"/>
    <w:rsid w:val="00AB1F9B"/>
    <w:rsid w:val="00AB5AA1"/>
    <w:rsid w:val="00AC5E59"/>
    <w:rsid w:val="00AC64D0"/>
    <w:rsid w:val="00AD0CD3"/>
    <w:rsid w:val="00AD5BC3"/>
    <w:rsid w:val="00AD5E31"/>
    <w:rsid w:val="00AE2C7E"/>
    <w:rsid w:val="00AF1192"/>
    <w:rsid w:val="00AF295D"/>
    <w:rsid w:val="00B010A1"/>
    <w:rsid w:val="00B03FFA"/>
    <w:rsid w:val="00B1019D"/>
    <w:rsid w:val="00B14524"/>
    <w:rsid w:val="00B22B60"/>
    <w:rsid w:val="00B2425E"/>
    <w:rsid w:val="00B3575C"/>
    <w:rsid w:val="00B37994"/>
    <w:rsid w:val="00B413BC"/>
    <w:rsid w:val="00B41FC5"/>
    <w:rsid w:val="00B42256"/>
    <w:rsid w:val="00B45245"/>
    <w:rsid w:val="00B5058F"/>
    <w:rsid w:val="00B53C70"/>
    <w:rsid w:val="00B53F56"/>
    <w:rsid w:val="00B55C83"/>
    <w:rsid w:val="00B56875"/>
    <w:rsid w:val="00B568F3"/>
    <w:rsid w:val="00B56E32"/>
    <w:rsid w:val="00B75C44"/>
    <w:rsid w:val="00B92B7F"/>
    <w:rsid w:val="00B9488C"/>
    <w:rsid w:val="00B9602F"/>
    <w:rsid w:val="00BA2C20"/>
    <w:rsid w:val="00BA632D"/>
    <w:rsid w:val="00BB5743"/>
    <w:rsid w:val="00BC1F9F"/>
    <w:rsid w:val="00BC3CCD"/>
    <w:rsid w:val="00BC6F9B"/>
    <w:rsid w:val="00BE1396"/>
    <w:rsid w:val="00C07AE2"/>
    <w:rsid w:val="00C119B4"/>
    <w:rsid w:val="00C1216B"/>
    <w:rsid w:val="00C156A1"/>
    <w:rsid w:val="00C1585C"/>
    <w:rsid w:val="00C15EA5"/>
    <w:rsid w:val="00C2311C"/>
    <w:rsid w:val="00C2506E"/>
    <w:rsid w:val="00C30679"/>
    <w:rsid w:val="00C671EC"/>
    <w:rsid w:val="00C7142D"/>
    <w:rsid w:val="00C741DD"/>
    <w:rsid w:val="00C81B7D"/>
    <w:rsid w:val="00C84A1B"/>
    <w:rsid w:val="00C91C90"/>
    <w:rsid w:val="00C946C7"/>
    <w:rsid w:val="00CA5627"/>
    <w:rsid w:val="00CC234C"/>
    <w:rsid w:val="00CC6038"/>
    <w:rsid w:val="00CD45F3"/>
    <w:rsid w:val="00CD4BCB"/>
    <w:rsid w:val="00CD7482"/>
    <w:rsid w:val="00CE04F9"/>
    <w:rsid w:val="00D014C5"/>
    <w:rsid w:val="00D015BA"/>
    <w:rsid w:val="00D020EB"/>
    <w:rsid w:val="00D05DEC"/>
    <w:rsid w:val="00D06D52"/>
    <w:rsid w:val="00D070A0"/>
    <w:rsid w:val="00D1653E"/>
    <w:rsid w:val="00D16602"/>
    <w:rsid w:val="00D200E0"/>
    <w:rsid w:val="00D208C5"/>
    <w:rsid w:val="00D20FDB"/>
    <w:rsid w:val="00D241D2"/>
    <w:rsid w:val="00D24AA8"/>
    <w:rsid w:val="00D67337"/>
    <w:rsid w:val="00D7235E"/>
    <w:rsid w:val="00D80B4D"/>
    <w:rsid w:val="00DB79B2"/>
    <w:rsid w:val="00DC46FC"/>
    <w:rsid w:val="00DC6E40"/>
    <w:rsid w:val="00DD0C56"/>
    <w:rsid w:val="00DF2A5F"/>
    <w:rsid w:val="00DF4A2F"/>
    <w:rsid w:val="00E01294"/>
    <w:rsid w:val="00E06CDC"/>
    <w:rsid w:val="00E0797A"/>
    <w:rsid w:val="00E109DD"/>
    <w:rsid w:val="00E118E9"/>
    <w:rsid w:val="00E11E73"/>
    <w:rsid w:val="00E13CA5"/>
    <w:rsid w:val="00E168FB"/>
    <w:rsid w:val="00E17A7D"/>
    <w:rsid w:val="00E24A21"/>
    <w:rsid w:val="00E264F7"/>
    <w:rsid w:val="00E3196F"/>
    <w:rsid w:val="00E33B5F"/>
    <w:rsid w:val="00E4054F"/>
    <w:rsid w:val="00E5020E"/>
    <w:rsid w:val="00E54BB0"/>
    <w:rsid w:val="00E5659C"/>
    <w:rsid w:val="00E64412"/>
    <w:rsid w:val="00E651FB"/>
    <w:rsid w:val="00E70787"/>
    <w:rsid w:val="00E717B6"/>
    <w:rsid w:val="00E751D3"/>
    <w:rsid w:val="00E77777"/>
    <w:rsid w:val="00E8034B"/>
    <w:rsid w:val="00E82D4C"/>
    <w:rsid w:val="00E85A86"/>
    <w:rsid w:val="00E85DC9"/>
    <w:rsid w:val="00E87A4B"/>
    <w:rsid w:val="00E9206E"/>
    <w:rsid w:val="00E975BF"/>
    <w:rsid w:val="00EA0303"/>
    <w:rsid w:val="00EA59E2"/>
    <w:rsid w:val="00EA756E"/>
    <w:rsid w:val="00EB0E57"/>
    <w:rsid w:val="00EB3E75"/>
    <w:rsid w:val="00EB4E74"/>
    <w:rsid w:val="00EB5734"/>
    <w:rsid w:val="00EB5F90"/>
    <w:rsid w:val="00ED0979"/>
    <w:rsid w:val="00ED60C3"/>
    <w:rsid w:val="00EE1A12"/>
    <w:rsid w:val="00EE396D"/>
    <w:rsid w:val="00EE5A2E"/>
    <w:rsid w:val="00EF5D27"/>
    <w:rsid w:val="00EF7671"/>
    <w:rsid w:val="00F11C91"/>
    <w:rsid w:val="00F14908"/>
    <w:rsid w:val="00F2285B"/>
    <w:rsid w:val="00F2630E"/>
    <w:rsid w:val="00F63856"/>
    <w:rsid w:val="00F674D3"/>
    <w:rsid w:val="00F7436B"/>
    <w:rsid w:val="00F81365"/>
    <w:rsid w:val="00F81630"/>
    <w:rsid w:val="00F8264A"/>
    <w:rsid w:val="00F92DF5"/>
    <w:rsid w:val="00F96793"/>
    <w:rsid w:val="00F96F21"/>
    <w:rsid w:val="00FB179F"/>
    <w:rsid w:val="00FB6150"/>
    <w:rsid w:val="00FC2FFB"/>
    <w:rsid w:val="00FD0DAC"/>
    <w:rsid w:val="00FE602A"/>
    <w:rsid w:val="00FE6E7B"/>
    <w:rsid w:val="00FF49A1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8E3"/>
    <w:rPr>
      <w:rFonts w:ascii="Arial" w:hAnsi="Arial"/>
      <w:szCs w:val="24"/>
      <w:lang w:val="en-GB" w:eastAsia="fr-FR"/>
    </w:rPr>
  </w:style>
  <w:style w:type="paragraph" w:styleId="Heading1">
    <w:name w:val="heading 1"/>
    <w:basedOn w:val="Normal"/>
    <w:next w:val="BodyText"/>
    <w:qFormat/>
    <w:rsid w:val="005638E3"/>
    <w:pPr>
      <w:keepNext/>
      <w:keepLines/>
      <w:pBdr>
        <w:bottom w:val="single" w:sz="4" w:space="8" w:color="auto"/>
      </w:pBdr>
      <w:spacing w:after="480"/>
      <w:outlineLvl w:val="0"/>
    </w:pPr>
    <w:rPr>
      <w:b/>
      <w:bCs/>
      <w:color w:val="003366"/>
      <w:sz w:val="40"/>
      <w:szCs w:val="20"/>
      <w:lang w:val="de-DE" w:eastAsia="en-US"/>
    </w:rPr>
  </w:style>
  <w:style w:type="paragraph" w:styleId="Heading2">
    <w:name w:val="heading 2"/>
    <w:basedOn w:val="Normal"/>
    <w:next w:val="Normal"/>
    <w:qFormat/>
    <w:rsid w:val="005638E3"/>
    <w:pPr>
      <w:keepNext/>
      <w:spacing w:before="240" w:after="60"/>
      <w:outlineLvl w:val="1"/>
    </w:pPr>
    <w:rPr>
      <w:rFonts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qFormat/>
    <w:rsid w:val="005638E3"/>
    <w:pPr>
      <w:keepNext/>
      <w:spacing w:before="240" w:after="60"/>
      <w:outlineLvl w:val="2"/>
    </w:pPr>
    <w:rPr>
      <w:rFonts w:cs="Arial"/>
      <w:b/>
      <w:bCs/>
      <w:color w:val="003366"/>
      <w:sz w:val="26"/>
      <w:szCs w:val="26"/>
    </w:rPr>
  </w:style>
  <w:style w:type="paragraph" w:styleId="Heading4">
    <w:name w:val="heading 4"/>
    <w:basedOn w:val="Normal"/>
    <w:next w:val="Normal"/>
    <w:qFormat/>
    <w:rsid w:val="005638E3"/>
    <w:pPr>
      <w:keepNext/>
      <w:spacing w:before="240" w:after="60"/>
      <w:outlineLvl w:val="3"/>
    </w:pPr>
    <w:rPr>
      <w:b/>
      <w:bCs/>
      <w:color w:val="003366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WordBold">
    <w:name w:val="Note Word Bold"/>
    <w:basedOn w:val="DefaultParagraphFont"/>
    <w:rsid w:val="005638E3"/>
    <w:rPr>
      <w:rFonts w:ascii="Arial" w:hAnsi="Arial"/>
      <w:b/>
      <w:i/>
      <w:caps/>
      <w:color w:val="003366"/>
      <w:sz w:val="16"/>
    </w:rPr>
  </w:style>
  <w:style w:type="paragraph" w:styleId="BodyText">
    <w:name w:val="Body Text"/>
    <w:basedOn w:val="Normal"/>
    <w:rsid w:val="005638E3"/>
    <w:pPr>
      <w:spacing w:after="120"/>
    </w:pPr>
  </w:style>
  <w:style w:type="paragraph" w:styleId="ListParagraph">
    <w:name w:val="List Paragraph"/>
    <w:basedOn w:val="Normal"/>
    <w:uiPriority w:val="34"/>
    <w:qFormat/>
    <w:rsid w:val="0063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lux10052</dc:creator>
  <cp:keywords/>
  <dc:description/>
  <cp:lastModifiedBy>lux10052</cp:lastModifiedBy>
  <cp:revision>29</cp:revision>
  <dcterms:created xsi:type="dcterms:W3CDTF">2008-11-06T14:28:00Z</dcterms:created>
  <dcterms:modified xsi:type="dcterms:W3CDTF">2008-11-14T10:25:00Z</dcterms:modified>
</cp:coreProperties>
</file>